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6B311">
      <w:pPr>
        <w:spacing w:line="360" w:lineRule="auto"/>
        <w:ind w:firstLine="562" w:firstLineChars="200"/>
        <w:jc w:val="center"/>
        <w:rPr>
          <w:rFonts w:asciiTheme="minorEastAsia" w:hAnsiTheme="minorEastAsia"/>
          <w:b/>
          <w:bCs/>
          <w:sz w:val="28"/>
          <w:szCs w:val="28"/>
        </w:rPr>
      </w:pPr>
      <w:r>
        <w:rPr>
          <w:rFonts w:hint="eastAsia" w:asciiTheme="minorEastAsia" w:hAnsiTheme="minorEastAsia"/>
          <w:b/>
          <w:bCs/>
          <w:sz w:val="28"/>
          <w:szCs w:val="28"/>
        </w:rPr>
        <w:t>格勒布尔诺案例分析报告</w:t>
      </w:r>
    </w:p>
    <w:p w14:paraId="6A040F18">
      <w:pPr>
        <w:spacing w:line="360" w:lineRule="auto"/>
        <w:ind w:firstLine="480" w:firstLineChars="200"/>
        <w:jc w:val="center"/>
        <w:rPr>
          <w:rFonts w:hint="eastAsia" w:asciiTheme="minorEastAsia" w:hAnsiTheme="minorEastAsia" w:eastAsiaTheme="minorEastAsia"/>
          <w:sz w:val="24"/>
          <w:lang w:val="en-US" w:eastAsia="zh-CN"/>
        </w:rPr>
      </w:pPr>
      <w:r>
        <w:rPr>
          <w:rFonts w:hint="eastAsia" w:asciiTheme="minorEastAsia" w:hAnsiTheme="minorEastAsia"/>
          <w:sz w:val="24"/>
          <w:lang w:val="en-US" w:eastAsia="zh-CN"/>
        </w:rPr>
        <w:t>张润梓</w:t>
      </w:r>
    </w:p>
    <w:p w14:paraId="081FD077">
      <w:pPr>
        <w:spacing w:line="360" w:lineRule="auto"/>
        <w:ind w:firstLine="480" w:firstLineChars="200"/>
        <w:rPr>
          <w:rFonts w:asciiTheme="minorEastAsia" w:hAnsiTheme="minorEastAsia"/>
          <w:sz w:val="24"/>
        </w:rPr>
      </w:pPr>
      <w:r>
        <w:rPr>
          <w:rFonts w:asciiTheme="minorEastAsia" w:hAnsiTheme="minorEastAsia"/>
          <w:sz w:val="24"/>
        </w:rPr>
        <w:t>格勒诺布尔是法国阿尔卑斯山区的重要城市，也是法国首个通过立法将甜甜圈经济学纳入城市长期发展战略的典型城市。该市于2022年经市议会正式投票，启动以甜甜圈模型为核心的</w:t>
      </w:r>
      <w:r>
        <w:rPr>
          <w:rFonts w:hint="eastAsia" w:asciiTheme="minorEastAsia" w:hAnsiTheme="minorEastAsia"/>
          <w:sz w:val="24"/>
        </w:rPr>
        <w:t>“</w:t>
      </w:r>
      <w:r>
        <w:rPr>
          <w:rFonts w:hint="default" w:ascii="Times New Roman" w:hAnsi="Times New Roman" w:cs="Times New Roman"/>
          <w:sz w:val="24"/>
        </w:rPr>
        <w:t xml:space="preserve">Grenoble </w:t>
      </w:r>
      <w:r>
        <w:rPr>
          <w:rFonts w:asciiTheme="minorEastAsia" w:hAnsiTheme="minorEastAsia"/>
          <w:sz w:val="24"/>
        </w:rPr>
        <w:t>2040</w:t>
      </w:r>
      <w:r>
        <w:rPr>
          <w:rFonts w:hint="eastAsia" w:asciiTheme="minorEastAsia" w:hAnsiTheme="minorEastAsia"/>
          <w:sz w:val="24"/>
        </w:rPr>
        <w:t>”</w:t>
      </w:r>
      <w:r>
        <w:rPr>
          <w:rFonts w:asciiTheme="minorEastAsia" w:hAnsiTheme="minorEastAsia"/>
          <w:sz w:val="24"/>
        </w:rPr>
        <w:t>战略，由市政府主导，联合甜甜圈经济学行动实验室、高校、社区组织、企业与市民共同推进，形成</w:t>
      </w:r>
      <w:r>
        <w:rPr>
          <w:rFonts w:hint="eastAsia" w:asciiTheme="minorEastAsia" w:hAnsiTheme="minorEastAsia"/>
          <w:sz w:val="24"/>
        </w:rPr>
        <w:t>“</w:t>
      </w:r>
      <w:r>
        <w:rPr>
          <w:rFonts w:asciiTheme="minorEastAsia" w:hAnsiTheme="minorEastAsia"/>
          <w:sz w:val="24"/>
        </w:rPr>
        <w:t>政府主导、多方协同、公众参与</w:t>
      </w:r>
      <w:r>
        <w:rPr>
          <w:rFonts w:hint="eastAsia" w:asciiTheme="minorEastAsia" w:hAnsiTheme="minorEastAsia"/>
          <w:sz w:val="24"/>
        </w:rPr>
        <w:t>”</w:t>
      </w:r>
      <w:r>
        <w:rPr>
          <w:rFonts w:asciiTheme="minorEastAsia" w:hAnsiTheme="minorEastAsia"/>
          <w:sz w:val="24"/>
        </w:rPr>
        <w:t>的治理模式，为欧洲中型城市的可持续转型提供了可复制经验</w:t>
      </w:r>
      <w:r>
        <w:rPr>
          <w:rFonts w:hint="eastAsia" w:asciiTheme="minorEastAsia" w:hAnsiTheme="minorEastAsia"/>
          <w:sz w:val="24"/>
        </w:rPr>
        <w:t>。</w:t>
      </w:r>
    </w:p>
    <w:p w14:paraId="23B6A31A">
      <w:pPr>
        <w:spacing w:line="360" w:lineRule="auto"/>
        <w:ind w:firstLine="480" w:firstLineChars="200"/>
        <w:rPr>
          <w:rFonts w:ascii="宋体" w:hAnsi="宋体" w:eastAsia="宋体" w:cs="宋体"/>
          <w:sz w:val="24"/>
          <w:szCs w:val="24"/>
        </w:rPr>
      </w:pPr>
      <w:r>
        <w:rPr>
          <w:rFonts w:ascii="宋体" w:hAnsi="宋体" w:eastAsia="宋体" w:cs="宋体"/>
          <w:sz w:val="24"/>
          <w:szCs w:val="24"/>
        </w:rPr>
        <w:t>在甜甜圈框架应用上，格勒诺布尔以 “城市画像” 为核心工具，系统界定社会门槛与生态上限，将甜甜圈理念深度嵌入城市总体规划、重点项目审批、公共政策制定、政府投资决策等城市治理全流程。该市依托</w:t>
      </w:r>
      <w:r>
        <w:rPr>
          <w:rStyle w:val="6"/>
          <w:rFonts w:ascii="宋体" w:hAnsi="宋体" w:eastAsia="宋体" w:cs="宋体"/>
          <w:b w:val="0"/>
          <w:bCs w:val="0"/>
          <w:sz w:val="24"/>
          <w:szCs w:val="24"/>
          <w:bdr w:val="none" w:color="auto" w:sz="0" w:space="0"/>
        </w:rPr>
        <w:t>社会与生态协同评估机制</w:t>
      </w:r>
      <w:r>
        <w:rPr>
          <w:rFonts w:ascii="宋体" w:hAnsi="宋体" w:eastAsia="宋体" w:cs="宋体"/>
          <w:b w:val="0"/>
          <w:bCs w:val="0"/>
          <w:sz w:val="24"/>
          <w:szCs w:val="24"/>
        </w:rPr>
        <w:t>，</w:t>
      </w:r>
      <w:r>
        <w:rPr>
          <w:rFonts w:ascii="宋体" w:hAnsi="宋体" w:eastAsia="宋体" w:cs="宋体"/>
          <w:sz w:val="24"/>
          <w:szCs w:val="24"/>
        </w:rPr>
        <w:t>对所有重大项目同步开展民生影响与环境影响双重评价，确保政策不偏向单一目标；依托</w:t>
      </w:r>
      <w:r>
        <w:rPr>
          <w:rStyle w:val="6"/>
          <w:rFonts w:ascii="宋体" w:hAnsi="宋体" w:eastAsia="宋体" w:cs="宋体"/>
          <w:b w:val="0"/>
          <w:bCs w:val="0"/>
          <w:sz w:val="24"/>
          <w:szCs w:val="24"/>
          <w:bdr w:val="none" w:color="auto" w:sz="0" w:space="0"/>
        </w:rPr>
        <w:t>动态数据实时监测体系</w:t>
      </w:r>
      <w:r>
        <w:rPr>
          <w:rFonts w:ascii="宋体" w:hAnsi="宋体" w:eastAsia="宋体" w:cs="宋体"/>
          <w:b w:val="0"/>
          <w:bCs w:val="0"/>
          <w:sz w:val="24"/>
          <w:szCs w:val="24"/>
        </w:rPr>
        <w:t>，</w:t>
      </w:r>
      <w:r>
        <w:rPr>
          <w:rFonts w:ascii="宋体" w:hAnsi="宋体" w:eastAsia="宋体" w:cs="宋体"/>
          <w:sz w:val="24"/>
          <w:szCs w:val="24"/>
        </w:rPr>
        <w:t>搭建城市可持续发展数据平台，对社会福祉与生态负荷指标进行常态化跟踪、可视化呈现；依托</w:t>
      </w:r>
      <w:r>
        <w:rPr>
          <w:rStyle w:val="6"/>
          <w:rFonts w:ascii="宋体" w:hAnsi="宋体" w:eastAsia="宋体" w:cs="宋体"/>
          <w:b w:val="0"/>
          <w:bCs w:val="0"/>
          <w:sz w:val="24"/>
          <w:szCs w:val="24"/>
          <w:bdr w:val="none" w:color="auto" w:sz="0" w:space="0"/>
        </w:rPr>
        <w:t>市民共构迭代优化机制</w:t>
      </w:r>
      <w:r>
        <w:rPr>
          <w:rFonts w:ascii="宋体" w:hAnsi="宋体" w:eastAsia="宋体" w:cs="宋体"/>
          <w:b w:val="0"/>
          <w:bCs w:val="0"/>
          <w:sz w:val="24"/>
          <w:szCs w:val="24"/>
        </w:rPr>
        <w:t>，</w:t>
      </w:r>
      <w:r>
        <w:rPr>
          <w:rFonts w:ascii="宋体" w:hAnsi="宋体" w:eastAsia="宋体" w:cs="宋体"/>
          <w:sz w:val="24"/>
          <w:szCs w:val="24"/>
        </w:rPr>
        <w:t>通过社区议事、公众咨询、公民陪审团等形式收集基层诉求，定期调整指标体系与行动方案。三大机制协同发力，推动甜甜圈从抽象理念转化为</w:t>
      </w:r>
      <w:r>
        <w:rPr>
          <w:rStyle w:val="6"/>
          <w:rFonts w:ascii="宋体" w:hAnsi="宋体" w:eastAsia="宋体" w:cs="宋体"/>
          <w:b w:val="0"/>
          <w:bCs w:val="0"/>
          <w:sz w:val="24"/>
          <w:szCs w:val="24"/>
          <w:bdr w:val="none" w:color="auto" w:sz="0" w:space="0"/>
        </w:rPr>
        <w:t>可落地执行、可量化监测、可持续优化</w:t>
      </w:r>
      <w:r>
        <w:rPr>
          <w:rFonts w:ascii="宋体" w:hAnsi="宋体" w:eastAsia="宋体" w:cs="宋体"/>
          <w:sz w:val="24"/>
          <w:szCs w:val="24"/>
        </w:rPr>
        <w:t>的标准化治理工具，实现理念与实践的无缝衔接、治理过程的闭环管理。</w:t>
      </w:r>
    </w:p>
    <w:p w14:paraId="2013993F">
      <w:pPr>
        <w:spacing w:line="360" w:lineRule="auto"/>
        <w:ind w:firstLine="480" w:firstLineChars="200"/>
        <w:rPr>
          <w:rFonts w:asciiTheme="minorEastAsia" w:hAnsiTheme="minorEastAsia"/>
          <w:sz w:val="24"/>
        </w:rPr>
      </w:pPr>
      <w:r>
        <w:rPr>
          <w:rFonts w:hint="eastAsia" w:ascii="宋体" w:hAnsi="宋体" w:eastAsia="宋体" w:cs="宋体"/>
          <w:sz w:val="24"/>
          <w:szCs w:val="24"/>
          <w:lang w:val="en-US" w:eastAsia="zh-CN"/>
        </w:rPr>
        <w:t>从</w:t>
      </w:r>
      <w:r>
        <w:rPr>
          <w:rFonts w:asciiTheme="minorEastAsia" w:hAnsiTheme="minorEastAsia"/>
          <w:sz w:val="24"/>
        </w:rPr>
        <w:t>四镜头结构来看，案例高度聚焦本地社会公平与本地生态安全。在社会维度，围绕可负担住房供给扩大公共住房存量、严控租金涨幅、推进混合居住，缓解住房不平等；围绕公共交通普惠优化公交网络、延长运营时间、降低票价门槛，保障老人、学生、低收入群体便捷出行；围绕医疗教育均等化加大基层医疗与社区教育投入，缩小区域服务差距；围绕弱势群体社会融入完善就业帮扶、语言培训、社区支持体系，减少排斥与隔离。在生态维度，围绕气候中和实现推进建筑节能、可再生能源替代、低碳出行普及；围绕生物多样性保护修复城市绿地、湿地、山地生态廊道，保护阿尔卑斯特有物种栖息地；围绕水资源高效管理实施雨水回收、污水资源化、节水技术推广，降低水资源消耗；围绕城市热岛效应缓解增加透水铺装、立体绿化、城市林荫道，提升人居热舒适；围绕循环经济体系构建推行垃圾分类、建筑垃圾资源化、产业闭环利用，减少资源浪费与污染排放。通过上述系统性行动，该市同步推进民生保障与生态保护，实现社会底线与生态上限的双重达标。同时通过降低城市生态足迹，间接承担全球生态与社会责任，但未专门讨论“本地改善与外部成本转移”问题。</w:t>
      </w:r>
    </w:p>
    <w:p w14:paraId="2F931D31">
      <w:pPr>
        <w:spacing w:line="360" w:lineRule="auto"/>
        <w:ind w:firstLine="480" w:firstLineChars="200"/>
        <w:rPr>
          <w:rFonts w:asciiTheme="minorEastAsia" w:hAnsiTheme="minorEastAsia"/>
          <w:sz w:val="24"/>
        </w:rPr>
      </w:pPr>
      <w:r>
        <w:rPr>
          <w:rFonts w:asciiTheme="minorEastAsia" w:hAnsiTheme="minorEastAsia"/>
          <w:sz w:val="24"/>
        </w:rPr>
        <w:t>格勒诺布尔推行甜甜圈模式，源于其独特的现实压力。社会层面最突出的短板是可负担住房不足</w:t>
      </w:r>
      <w:r>
        <w:rPr>
          <w:rFonts w:hint="eastAsia" w:asciiTheme="minorEastAsia" w:hAnsiTheme="minorEastAsia"/>
          <w:sz w:val="24"/>
        </w:rPr>
        <w:t>；</w:t>
      </w:r>
      <w:r>
        <w:rPr>
          <w:rFonts w:asciiTheme="minorEastAsia" w:hAnsiTheme="minorEastAsia"/>
          <w:sz w:val="24"/>
        </w:rPr>
        <w:t>随着人口持续流入，住房成本上升、居住不平等加剧，直接影响居民生活质量与社会公平。生态层面最突出的压力是阿尔卑斯高山生态系统脆弱，城市发展与人类活动直接威胁敏感山地环境，气候变暖进一步加大生态风险。因此，该市以甜甜圈为抓手，同步解决社会公平与生态可持续两大核心挑战，致力于在地球生态边界内保障全体居民的基本福祉。该案例最鲜明的特点是制度化、工具化、闭环化。一是通过议会决议将甜甜圈模式法定</w:t>
      </w:r>
      <w:r>
        <w:rPr>
          <w:rFonts w:hint="eastAsia" w:asciiTheme="minorEastAsia" w:hAnsiTheme="minorEastAsia"/>
          <w:sz w:val="24"/>
          <w:lang w:val="en-US" w:eastAsia="zh-CN"/>
        </w:rPr>
        <w:t>化</w:t>
      </w:r>
      <w:r>
        <w:rPr>
          <w:rFonts w:hint="eastAsia" w:asciiTheme="minorEastAsia" w:hAnsiTheme="minorEastAsia"/>
          <w:sz w:val="24"/>
          <w:vertAlign w:val="superscript"/>
          <w:lang w:val="en-US" w:eastAsia="zh-CN"/>
        </w:rPr>
        <w:t>[1]</w:t>
      </w:r>
      <w:r>
        <w:rPr>
          <w:rFonts w:asciiTheme="minorEastAsia" w:hAnsiTheme="minorEastAsia"/>
          <w:sz w:val="24"/>
        </w:rPr>
        <w:t>，保障政策长期稳定</w:t>
      </w:r>
      <w:r>
        <w:rPr>
          <w:rFonts w:hint="eastAsia" w:asciiTheme="minorEastAsia" w:hAnsiTheme="minorEastAsia"/>
          <w:sz w:val="24"/>
        </w:rPr>
        <w:t>；</w:t>
      </w:r>
      <w:r>
        <w:rPr>
          <w:rFonts w:asciiTheme="minorEastAsia" w:hAnsiTheme="minorEastAsia"/>
          <w:sz w:val="24"/>
        </w:rPr>
        <w:t xml:space="preserve">二是开发城市画像、项目影响评估表、数据观测台等实用工具，让可持续发展目标可量化、可考核；三是建立跨部门协作与大规模市民参与机制，提升转型的包容性与可行性。 </w:t>
      </w:r>
    </w:p>
    <w:p w14:paraId="5C6951F0">
      <w:pPr>
        <w:spacing w:line="360" w:lineRule="auto"/>
        <w:ind w:firstLine="480" w:firstLineChars="200"/>
        <w:rPr>
          <w:rFonts w:asciiTheme="minorEastAsia" w:hAnsiTheme="minorEastAsia"/>
          <w:sz w:val="24"/>
        </w:rPr>
      </w:pPr>
      <w:r>
        <w:rPr>
          <w:rFonts w:asciiTheme="minorEastAsia" w:hAnsiTheme="minorEastAsia"/>
          <w:sz w:val="24"/>
        </w:rPr>
        <w:t>对中国城市可持续发展而言，格勒诺布尔具有重要借鉴意义。</w:t>
      </w:r>
      <w:r>
        <w:rPr>
          <w:rFonts w:ascii="宋体" w:hAnsi="宋体" w:eastAsia="宋体" w:cs="宋体"/>
          <w:sz w:val="24"/>
          <w:szCs w:val="24"/>
        </w:rPr>
        <w:t>首先，可借鉴其将可持续理念转化为</w:t>
      </w:r>
      <w:r>
        <w:rPr>
          <w:rStyle w:val="6"/>
          <w:rFonts w:ascii="宋体" w:hAnsi="宋体" w:eastAsia="宋体" w:cs="宋体"/>
          <w:b w:val="0"/>
          <w:bCs w:val="0"/>
          <w:sz w:val="24"/>
          <w:szCs w:val="24"/>
          <w:bdr w:val="none" w:color="auto" w:sz="0" w:space="0"/>
        </w:rPr>
        <w:t>法定治理框架与量化评估工具</w:t>
      </w:r>
      <w:r>
        <w:rPr>
          <w:rFonts w:ascii="宋体" w:hAnsi="宋体" w:eastAsia="宋体" w:cs="宋体"/>
          <w:sz w:val="24"/>
          <w:szCs w:val="24"/>
        </w:rPr>
        <w:t>的做法，把“双碳”目标、生态文明建设、民生保障、城乡均衡发展等核心要求整合为统一的城市治理标尺，用于城市规划、项目审批与政策全周期评估，避免目标分散、执行碎片化。</w:t>
      </w:r>
      <w:r>
        <w:rPr>
          <w:rFonts w:asciiTheme="minorEastAsia" w:hAnsiTheme="minorEastAsia"/>
          <w:sz w:val="24"/>
        </w:rPr>
        <w:t>其次，建立</w:t>
      </w:r>
      <w:r>
        <w:rPr>
          <w:rFonts w:hint="eastAsia" w:asciiTheme="minorEastAsia" w:hAnsiTheme="minorEastAsia"/>
          <w:sz w:val="24"/>
        </w:rPr>
        <w:t>“</w:t>
      </w:r>
      <w:r>
        <w:rPr>
          <w:rFonts w:asciiTheme="minorEastAsia" w:hAnsiTheme="minorEastAsia"/>
          <w:sz w:val="24"/>
        </w:rPr>
        <w:t>跨部门协同+公众参与</w:t>
      </w:r>
      <w:r>
        <w:rPr>
          <w:rFonts w:hint="default" w:asciiTheme="minorEastAsia" w:hAnsiTheme="minorEastAsia"/>
          <w:sz w:val="24"/>
          <w:lang w:val="en-US" w:eastAsia="zh-CN"/>
        </w:rPr>
        <w:t>”</w:t>
      </w:r>
      <w:bookmarkStart w:id="0" w:name="_GoBack"/>
      <w:bookmarkEnd w:id="0"/>
      <w:r>
        <w:rPr>
          <w:rFonts w:asciiTheme="minorEastAsia" w:hAnsiTheme="minorEastAsia"/>
          <w:sz w:val="24"/>
        </w:rPr>
        <w:t>机制，避免生态政策与民生政策相互割裂，提升政策落地效率。在中国本土化应用时，需结合城市规模、资源条件、城乡结构与规划体系，优化社会底线与生态上限指标，将甜甜圈逻辑与国土空间规划、生态文明建设等政策有效衔接，走出符合国情的城市可持续转型道路。</w:t>
      </w:r>
    </w:p>
    <w:p w14:paraId="0C938BBA">
      <w:pPr>
        <w:spacing w:line="360" w:lineRule="auto"/>
        <w:rPr>
          <w:rFonts w:asciiTheme="minorEastAsia" w:hAnsiTheme="minorEastAsia"/>
          <w:sz w:val="24"/>
        </w:rPr>
      </w:pPr>
    </w:p>
    <w:p w14:paraId="01E9DE77">
      <w:pPr>
        <w:spacing w:line="360" w:lineRule="auto"/>
        <w:rPr>
          <w:rFonts w:asciiTheme="minorEastAsia" w:hAnsiTheme="minorEastAsia"/>
          <w:sz w:val="24"/>
        </w:rPr>
      </w:pPr>
      <w:r>
        <w:rPr>
          <w:rFonts w:hint="eastAsia" w:asciiTheme="minorEastAsia" w:hAnsiTheme="minorEastAsia"/>
          <w:sz w:val="24"/>
        </w:rPr>
        <w:t>参考文献</w:t>
      </w:r>
    </w:p>
    <w:p w14:paraId="0A4836CC">
      <w:pPr>
        <w:spacing w:line="360" w:lineRule="auto"/>
        <w:rPr>
          <w:rFonts w:hint="eastAsia" w:asciiTheme="minorEastAsia" w:hAnsiTheme="minorEastAsia"/>
          <w:sz w:val="24"/>
        </w:rPr>
      </w:pPr>
      <w:r>
        <w:rPr>
          <w:rFonts w:hint="eastAsia" w:asciiTheme="minorEastAsia" w:hAnsiTheme="minorEastAsia"/>
          <w:sz w:val="24"/>
        </w:rPr>
        <w:t>[1] Grenoble City Council. Grenoble 2040: Strategic Plan for Sustainable Development[R]. Grenoble: City of Grenoble, 2022.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B35A8D"/>
    <w:rsid w:val="0012229E"/>
    <w:rsid w:val="002F50AE"/>
    <w:rsid w:val="004B7B1C"/>
    <w:rsid w:val="0082392D"/>
    <w:rsid w:val="00835E1C"/>
    <w:rsid w:val="009206F1"/>
    <w:rsid w:val="00E62776"/>
    <w:rsid w:val="2EC37BBA"/>
    <w:rsid w:val="5A4C14B5"/>
    <w:rsid w:val="64B35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1044</Words>
  <Characters>1066</Characters>
  <Lines>7</Lines>
  <Paragraphs>2</Paragraphs>
  <TotalTime>67</TotalTime>
  <ScaleCrop>false</ScaleCrop>
  <LinksUpToDate>false</LinksUpToDate>
  <CharactersWithSpaces>1070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2026-05-09T12:10:00Z</dcterms:created>
  <dc:creator>张润梓</dc:creator>
  <cp:lastModifiedBy>张润梓</cp:lastModifiedBy>
  <dcterms:modified xsi:type="dcterms:W3CDTF">2026-05-11T07:36:43Z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BA022E06FA3D4C9594E7CDC606F18D87_13</vt:lpwstr>
  </property>
  <property fmtid="{D5CDD505-2E9C-101B-9397-08002B2CF9AE}" pid="4" name="KSOTemplateDocerSaveRecord">
    <vt:lpwstr>eyJoZGlkIjoiM2FiZDIzMjBhYjY3YjcwYmIxYWI1NjM4YzVmYjEyMDMiLCJ1c2VySWQiOiIxMjY2MDUzMjExIn0=</vt:lpwstr>
  </property>
</Properties>
</file>